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45" w:rsidRDefault="001C3D45" w:rsidP="000E3FB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Checklist-</w:t>
      </w:r>
      <w:r w:rsidRPr="001C3D45">
        <w:rPr>
          <w:rFonts w:ascii="Arial" w:hAnsi="Arial" w:cs="Arial"/>
          <w:b/>
          <w:sz w:val="36"/>
          <w:szCs w:val="36"/>
        </w:rPr>
        <w:t>Before you apply for housing funds through INAC and/or CMHC:</w:t>
      </w:r>
    </w:p>
    <w:p w:rsidR="001C3D45" w:rsidRPr="001C3D45" w:rsidRDefault="001C3D45" w:rsidP="000E3FBD">
      <w:pPr>
        <w:rPr>
          <w:rFonts w:ascii="Arial" w:hAnsi="Arial" w:cs="Arial"/>
          <w:b/>
          <w:sz w:val="36"/>
          <w:szCs w:val="36"/>
        </w:rPr>
      </w:pPr>
    </w:p>
    <w:p w:rsidR="000E3FBD" w:rsidRPr="000E3FBD" w:rsidRDefault="000E3FBD" w:rsidP="000E3FBD">
      <w:pPr>
        <w:rPr>
          <w:rFonts w:ascii="Arial" w:hAnsi="Arial" w:cs="Arial"/>
          <w:b/>
          <w:sz w:val="24"/>
          <w:szCs w:val="24"/>
        </w:rPr>
      </w:pPr>
      <w:r w:rsidRPr="000E3FBD">
        <w:rPr>
          <w:rFonts w:ascii="Arial" w:hAnsi="Arial" w:cs="Arial"/>
          <w:b/>
          <w:sz w:val="24"/>
          <w:szCs w:val="24"/>
        </w:rPr>
        <w:t xml:space="preserve">What you </w:t>
      </w:r>
      <w:r w:rsidR="001C3D45">
        <w:rPr>
          <w:rFonts w:ascii="Arial" w:hAnsi="Arial" w:cs="Arial"/>
          <w:b/>
          <w:sz w:val="24"/>
          <w:szCs w:val="24"/>
        </w:rPr>
        <w:t xml:space="preserve">will </w:t>
      </w:r>
      <w:r w:rsidRPr="000E3FBD">
        <w:rPr>
          <w:rFonts w:ascii="Arial" w:hAnsi="Arial" w:cs="Arial"/>
          <w:b/>
          <w:sz w:val="24"/>
          <w:szCs w:val="24"/>
        </w:rPr>
        <w:t>need: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>Land Encumbrance Check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>BCR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>Lot Survey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 xml:space="preserve">Lot Servicing 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>Sewerage certificate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>Perk test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>Septic design drawing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>Environmental Assessment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>Geotechnical report</w:t>
      </w:r>
    </w:p>
    <w:p w:rsidR="00000000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E3FBD">
        <w:rPr>
          <w:rFonts w:ascii="Arial" w:hAnsi="Arial" w:cs="Arial"/>
          <w:sz w:val="24"/>
          <w:szCs w:val="24"/>
        </w:rPr>
        <w:t>Mould</w:t>
      </w:r>
      <w:proofErr w:type="spellEnd"/>
      <w:r w:rsidRPr="000E3FBD">
        <w:rPr>
          <w:rFonts w:ascii="Arial" w:hAnsi="Arial" w:cs="Arial"/>
          <w:sz w:val="24"/>
          <w:szCs w:val="24"/>
        </w:rPr>
        <w:t xml:space="preserve"> Assessment- FN Health Authority Environmental Health Officer</w:t>
      </w:r>
    </w:p>
    <w:p w:rsidR="001C3D45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House Design/Blueprints/Architects drawings</w:t>
      </w:r>
      <w:bookmarkStart w:id="0" w:name="_GoBack"/>
      <w:bookmarkEnd w:id="0"/>
    </w:p>
    <w:p w:rsidR="000E3FBD" w:rsidRPr="000E3FBD" w:rsidRDefault="000E3FBD" w:rsidP="000E3FBD">
      <w:pPr>
        <w:rPr>
          <w:rFonts w:ascii="Arial" w:hAnsi="Arial" w:cs="Arial"/>
          <w:b/>
          <w:sz w:val="24"/>
          <w:szCs w:val="24"/>
        </w:rPr>
      </w:pPr>
      <w:r w:rsidRPr="000E3FBD">
        <w:rPr>
          <w:rFonts w:ascii="Arial" w:hAnsi="Arial" w:cs="Arial"/>
          <w:b/>
          <w:sz w:val="24"/>
          <w:szCs w:val="24"/>
        </w:rPr>
        <w:t>How to get it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>Contact INAC for a land encumbrance check, it might take a few weeks- FREE from INAC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 xml:space="preserve"> Get BCR from C</w:t>
      </w:r>
      <w:r>
        <w:rPr>
          <w:rFonts w:ascii="Arial" w:hAnsi="Arial" w:cs="Arial"/>
          <w:sz w:val="24"/>
          <w:szCs w:val="24"/>
        </w:rPr>
        <w:t xml:space="preserve">hief and </w:t>
      </w:r>
      <w:r w:rsidRPr="000E3FB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ouncil</w:t>
      </w:r>
      <w:r w:rsidRPr="000E3FBD">
        <w:rPr>
          <w:rFonts w:ascii="Arial" w:hAnsi="Arial" w:cs="Arial"/>
          <w:sz w:val="24"/>
          <w:szCs w:val="24"/>
        </w:rPr>
        <w:t>, template</w:t>
      </w:r>
      <w:r>
        <w:rPr>
          <w:rFonts w:ascii="Arial" w:hAnsi="Arial" w:cs="Arial"/>
          <w:sz w:val="24"/>
          <w:szCs w:val="24"/>
        </w:rPr>
        <w:t>/wording</w:t>
      </w:r>
      <w:r w:rsidRPr="000E3F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often </w:t>
      </w:r>
      <w:r w:rsidRPr="000E3FBD">
        <w:rPr>
          <w:rFonts w:ascii="Arial" w:hAnsi="Arial" w:cs="Arial"/>
          <w:sz w:val="24"/>
          <w:szCs w:val="24"/>
        </w:rPr>
        <w:t>provided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>Ask L</w:t>
      </w:r>
      <w:r>
        <w:rPr>
          <w:rFonts w:ascii="Arial" w:hAnsi="Arial" w:cs="Arial"/>
          <w:sz w:val="24"/>
          <w:szCs w:val="24"/>
        </w:rPr>
        <w:t xml:space="preserve">ands and Resources Manager/ Band Manager for </w:t>
      </w:r>
      <w:r w:rsidRPr="000E3FBD">
        <w:rPr>
          <w:rFonts w:ascii="Arial" w:hAnsi="Arial" w:cs="Arial"/>
          <w:sz w:val="24"/>
          <w:szCs w:val="24"/>
        </w:rPr>
        <w:t>survey files o</w:t>
      </w:r>
      <w:r w:rsidRPr="000E3FBD">
        <w:rPr>
          <w:rFonts w:ascii="Arial" w:hAnsi="Arial" w:cs="Arial"/>
          <w:sz w:val="24"/>
          <w:szCs w:val="24"/>
        </w:rPr>
        <w:t>r get</w:t>
      </w:r>
      <w:r>
        <w:rPr>
          <w:rFonts w:ascii="Arial" w:hAnsi="Arial" w:cs="Arial"/>
          <w:sz w:val="24"/>
          <w:szCs w:val="24"/>
        </w:rPr>
        <w:t xml:space="preserve"> lot</w:t>
      </w:r>
      <w:r w:rsidRPr="000E3FBD">
        <w:rPr>
          <w:rFonts w:ascii="Arial" w:hAnsi="Arial" w:cs="Arial"/>
          <w:sz w:val="24"/>
          <w:szCs w:val="24"/>
        </w:rPr>
        <w:t xml:space="preserve"> surveys done well ahead of your application deadline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>After installation of septic, save the yellow certificate.  The initial sewerage site inspection assessment in some areas can be do</w:t>
      </w:r>
      <w:r w:rsidRPr="000E3FBD">
        <w:rPr>
          <w:rFonts w:ascii="Arial" w:hAnsi="Arial" w:cs="Arial"/>
          <w:sz w:val="24"/>
          <w:szCs w:val="24"/>
        </w:rPr>
        <w:t xml:space="preserve">ne by the Environmental Health Officer from the </w:t>
      </w:r>
      <w:hyperlink r:id="rId5" w:history="1">
        <w:r w:rsidRPr="000E3FBD">
          <w:rPr>
            <w:rStyle w:val="Hyperlink"/>
            <w:rFonts w:ascii="Arial" w:hAnsi="Arial" w:cs="Arial"/>
            <w:sz w:val="24"/>
            <w:szCs w:val="24"/>
          </w:rPr>
          <w:t>First Nation Health Authority.  </w:t>
        </w:r>
      </w:hyperlink>
      <w:r w:rsidRPr="000E3FBD">
        <w:rPr>
          <w:rFonts w:ascii="Arial" w:hAnsi="Arial" w:cs="Arial"/>
          <w:sz w:val="24"/>
          <w:szCs w:val="24"/>
        </w:rPr>
        <w:t>This would be a great cost saving for the First Nation if this could be arranged and completed prior to the CMHC Section 95 call letter submission deadline.  Otherwise, the Fir</w:t>
      </w:r>
      <w:r w:rsidRPr="000E3FBD">
        <w:rPr>
          <w:rFonts w:ascii="Arial" w:hAnsi="Arial" w:cs="Arial"/>
          <w:sz w:val="24"/>
          <w:szCs w:val="24"/>
        </w:rPr>
        <w:t xml:space="preserve">st Nation would have to hire a Registered On-Site Waste Practitioner (ROWP) for a fee. 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>Environmental Assessment Report, Contact INAC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t>Geotechnica</w:t>
      </w:r>
      <w:r w:rsidR="000E3FBD">
        <w:rPr>
          <w:rFonts w:ascii="Arial" w:hAnsi="Arial" w:cs="Arial"/>
          <w:sz w:val="24"/>
          <w:szCs w:val="24"/>
        </w:rPr>
        <w:t xml:space="preserve">l reports test soil conditions </w:t>
      </w:r>
      <w:r w:rsidRPr="000E3FBD">
        <w:rPr>
          <w:rFonts w:ascii="Arial" w:hAnsi="Arial" w:cs="Arial"/>
          <w:sz w:val="24"/>
          <w:szCs w:val="24"/>
        </w:rPr>
        <w:t>and site conditions. (some service providers in BC are Horizon Engineering, North Star Engineering, cost varies)</w:t>
      </w:r>
    </w:p>
    <w:p w:rsidR="00000000" w:rsidRPr="000E3FBD" w:rsidRDefault="001C3D45" w:rsidP="000E3FB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3FBD">
        <w:rPr>
          <w:rFonts w:ascii="Arial" w:hAnsi="Arial" w:cs="Arial"/>
          <w:sz w:val="24"/>
          <w:szCs w:val="24"/>
        </w:rPr>
        <w:lastRenderedPageBreak/>
        <w:t xml:space="preserve">Health Inspection for </w:t>
      </w:r>
      <w:proofErr w:type="spellStart"/>
      <w:r w:rsidRPr="000E3FBD">
        <w:rPr>
          <w:rFonts w:ascii="Arial" w:hAnsi="Arial" w:cs="Arial"/>
          <w:sz w:val="24"/>
          <w:szCs w:val="24"/>
        </w:rPr>
        <w:t>m</w:t>
      </w:r>
      <w:r w:rsidRPr="000E3FBD">
        <w:rPr>
          <w:rFonts w:ascii="Arial" w:hAnsi="Arial" w:cs="Arial"/>
          <w:sz w:val="24"/>
          <w:szCs w:val="24"/>
        </w:rPr>
        <w:t>ould</w:t>
      </w:r>
      <w:proofErr w:type="spellEnd"/>
      <w:r w:rsidRPr="000E3FBD">
        <w:rPr>
          <w:rFonts w:ascii="Arial" w:hAnsi="Arial" w:cs="Arial"/>
          <w:sz w:val="24"/>
          <w:szCs w:val="24"/>
        </w:rPr>
        <w:t xml:space="preserve">. Ensure the square footage of </w:t>
      </w:r>
      <w:proofErr w:type="spellStart"/>
      <w:r w:rsidRPr="000E3FBD">
        <w:rPr>
          <w:rFonts w:ascii="Arial" w:hAnsi="Arial" w:cs="Arial"/>
          <w:sz w:val="24"/>
          <w:szCs w:val="24"/>
        </w:rPr>
        <w:t>mould</w:t>
      </w:r>
      <w:proofErr w:type="spellEnd"/>
      <w:r w:rsidRPr="000E3FBD">
        <w:rPr>
          <w:rFonts w:ascii="Arial" w:hAnsi="Arial" w:cs="Arial"/>
          <w:sz w:val="24"/>
          <w:szCs w:val="24"/>
        </w:rPr>
        <w:t xml:space="preserve"> is ident</w:t>
      </w:r>
      <w:r w:rsidR="000E3FBD">
        <w:rPr>
          <w:rFonts w:ascii="Arial" w:hAnsi="Arial" w:cs="Arial"/>
          <w:sz w:val="24"/>
          <w:szCs w:val="24"/>
        </w:rPr>
        <w:t>ified to establish eligibility (</w:t>
      </w:r>
      <w:r w:rsidRPr="000E3FBD">
        <w:rPr>
          <w:rFonts w:ascii="Arial" w:hAnsi="Arial" w:cs="Arial"/>
          <w:sz w:val="24"/>
          <w:szCs w:val="24"/>
        </w:rPr>
        <w:t xml:space="preserve">INAC)  </w:t>
      </w:r>
      <w:r w:rsidR="000E3FBD">
        <w:rPr>
          <w:rFonts w:ascii="Arial" w:hAnsi="Arial" w:cs="Arial"/>
          <w:sz w:val="24"/>
          <w:szCs w:val="24"/>
        </w:rPr>
        <w:t xml:space="preserve"> Call your Health board or </w:t>
      </w:r>
      <w:hyperlink r:id="rId6" w:history="1">
        <w:r w:rsidR="000E3FBD" w:rsidRPr="000E3FBD">
          <w:rPr>
            <w:rStyle w:val="Hyperlink"/>
            <w:rFonts w:ascii="Arial" w:hAnsi="Arial" w:cs="Arial"/>
            <w:sz w:val="24"/>
            <w:szCs w:val="24"/>
          </w:rPr>
          <w:t>First Nations Health Authority</w:t>
        </w:r>
      </w:hyperlink>
    </w:p>
    <w:p w:rsidR="00607782" w:rsidRPr="000E3FBD" w:rsidRDefault="00607782">
      <w:pPr>
        <w:rPr>
          <w:rFonts w:ascii="Arial" w:hAnsi="Arial" w:cs="Arial"/>
          <w:sz w:val="24"/>
          <w:szCs w:val="24"/>
        </w:rPr>
      </w:pPr>
    </w:p>
    <w:sectPr w:rsidR="00607782" w:rsidRPr="000E3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247A"/>
    <w:multiLevelType w:val="hybridMultilevel"/>
    <w:tmpl w:val="44DC1A0C"/>
    <w:lvl w:ilvl="0" w:tplc="BDCE4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787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4926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AC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2C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49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E6E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0F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42F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05A1832"/>
    <w:multiLevelType w:val="hybridMultilevel"/>
    <w:tmpl w:val="D3E21D92"/>
    <w:lvl w:ilvl="0" w:tplc="CE24B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C07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D842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DE2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E8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A8A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21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CE3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88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BD"/>
    <w:rsid w:val="000E3FBD"/>
    <w:rsid w:val="001C3D45"/>
    <w:rsid w:val="00607782"/>
    <w:rsid w:val="0087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5D87"/>
  <w15:chartTrackingRefBased/>
  <w15:docId w15:val="{27C6DCB2-67BD-4FA1-B08F-67C61C4D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FB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E3FB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7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5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3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8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nha.ca/" TargetMode="External"/><Relationship Id="rId5" Type="http://schemas.openxmlformats.org/officeDocument/2006/relationships/hyperlink" Target="http://www.fnha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Housing</dc:creator>
  <cp:keywords/>
  <dc:description/>
  <cp:lastModifiedBy>Crystal Housing</cp:lastModifiedBy>
  <cp:revision>1</cp:revision>
  <dcterms:created xsi:type="dcterms:W3CDTF">2017-05-03T20:44:00Z</dcterms:created>
  <dcterms:modified xsi:type="dcterms:W3CDTF">2017-05-03T21:00:00Z</dcterms:modified>
</cp:coreProperties>
</file>